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3127" w:rsidRDefault="00D220CD" w:rsidP="00D220CD">
          <w:pPr>
            <w:pStyle w:val="Heading1"/>
            <w:jc w:val="center"/>
          </w:pPr>
          <w:r>
            <w:t>Student Leadership in CTE Programs</w:t>
          </w:r>
        </w:p>
        <w:p w:rsidR="00D220CD" w:rsidRDefault="00D220CD" w:rsidP="00D220CD">
          <w:pPr>
            <w:rPr>
              <w:lang w:bidi="ar-SA"/>
            </w:rPr>
          </w:pPr>
          <w:r>
            <w:rPr>
              <w:lang w:bidi="ar-SA"/>
            </w:rPr>
            <w:t>Stude</w:t>
          </w:r>
          <w:r w:rsidR="00B64F77">
            <w:rPr>
              <w:lang w:bidi="ar-SA"/>
            </w:rPr>
            <w:t xml:space="preserve">nt leadership development </w:t>
          </w:r>
          <w:r>
            <w:rPr>
              <w:lang w:bidi="ar-SA"/>
            </w:rPr>
            <w:t>takes place in Career and Techn</w:t>
          </w:r>
          <w:r w:rsidR="00B64F77">
            <w:rPr>
              <w:lang w:bidi="ar-SA"/>
            </w:rPr>
            <w:t>ical Education (CTE) programs in a variety of forms</w:t>
          </w:r>
          <w:r>
            <w:rPr>
              <w:lang w:bidi="ar-SA"/>
            </w:rPr>
            <w:t>. When you embed real-world</w:t>
          </w:r>
          <w:r w:rsidR="00B64F77">
            <w:rPr>
              <w:lang w:bidi="ar-SA"/>
            </w:rPr>
            <w:t xml:space="preserve"> opportunities for students to direct their learning, make decisions, take risks and evaluate results</w:t>
          </w:r>
          <w:r>
            <w:rPr>
              <w:lang w:bidi="ar-SA"/>
            </w:rPr>
            <w:t xml:space="preserve">—you are helping them develop into leaders! </w:t>
          </w:r>
        </w:p>
        <w:p w:rsidR="00D220CD" w:rsidRPr="004A427D" w:rsidRDefault="00E75607" w:rsidP="00D220CD">
          <w:pPr>
            <w:rPr>
              <w:b/>
              <w:lang w:bidi="ar-SA"/>
            </w:rPr>
          </w:pPr>
          <w:r>
            <w:rPr>
              <w:b/>
              <w:lang w:bidi="ar-SA"/>
            </w:rPr>
            <w:t xml:space="preserve">STUDENT LEADERSHIP </w:t>
          </w:r>
          <w:r w:rsidR="00D220CD" w:rsidRPr="004A427D">
            <w:rPr>
              <w:b/>
              <w:lang w:bidi="ar-SA"/>
            </w:rPr>
            <w:t>SKILL DEVELOPMENT</w:t>
          </w:r>
        </w:p>
        <w:p w:rsidR="00D220CD" w:rsidRDefault="00B64F77" w:rsidP="00D220CD">
          <w:pPr>
            <w:rPr>
              <w:lang w:bidi="ar-SA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3019397</wp:posOffset>
                    </wp:positionH>
                    <wp:positionV relativeFrom="paragraph">
                      <wp:posOffset>858603</wp:posOffset>
                    </wp:positionV>
                    <wp:extent cx="2360930" cy="715010"/>
                    <wp:effectExtent l="0" t="0" r="0" b="889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715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4F77" w:rsidRDefault="00B64F77" w:rsidP="00B64F77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spacing w:before="0" w:after="0"/>
                                </w:pPr>
                                <w:r>
                                  <w:t>Teamwork</w:t>
                                </w:r>
                              </w:p>
                              <w:p w:rsidR="00B64F77" w:rsidRDefault="00B64F77" w:rsidP="00B64F77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spacing w:before="0" w:after="0"/>
                                </w:pPr>
                                <w:r>
                                  <w:t>Creativity</w:t>
                                </w:r>
                              </w:p>
                              <w:p w:rsidR="00B64F77" w:rsidRDefault="00B64F77" w:rsidP="00B64F77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spacing w:before="0" w:after="0"/>
                                </w:pPr>
                                <w:r>
                                  <w:t>Innovation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37.75pt;margin-top:67.6pt;width:185.9pt;height:56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MbIQ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" stroked="f">
                    <v:textbox>
                      <w:txbxContent>
                        <w:p w:rsidR="00B64F77" w:rsidRDefault="00B64F77" w:rsidP="00B64F77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spacing w:before="0" w:after="0"/>
                          </w:pPr>
                          <w:r>
                            <w:t>Teamwork</w:t>
                          </w:r>
                        </w:p>
                        <w:p w:rsidR="00B64F77" w:rsidRDefault="00B64F77" w:rsidP="00B64F77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spacing w:before="0" w:after="0"/>
                          </w:pPr>
                          <w:r>
                            <w:t>Creativity</w:t>
                          </w:r>
                        </w:p>
                        <w:p w:rsidR="00B64F77" w:rsidRDefault="00B64F77" w:rsidP="00B64F77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spacing w:before="0" w:after="0"/>
                          </w:pPr>
                          <w:r>
                            <w:t>Innovation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220CD">
            <w:rPr>
              <w:lang w:bidi="ar-SA"/>
            </w:rPr>
            <w:t>When we embed instruction and activities to develop student leadership, the focus is not on the technical aspects of a given CTE program (e.g. agriculture, health services, FACS, construct</w:t>
          </w:r>
          <w:r w:rsidR="004E7A19">
            <w:rPr>
              <w:lang w:bidi="ar-SA"/>
            </w:rPr>
            <w:t xml:space="preserve">ion, business) </w:t>
          </w:r>
          <w:r>
            <w:rPr>
              <w:lang w:bidi="ar-SA"/>
            </w:rPr>
            <w:t xml:space="preserve">nor on “project-based learning” </w:t>
          </w:r>
          <w:r w:rsidR="004E7A19">
            <w:rPr>
              <w:lang w:bidi="ar-SA"/>
            </w:rPr>
            <w:t>but on youth development for</w:t>
          </w:r>
          <w:r w:rsidR="00D220CD">
            <w:rPr>
              <w:lang w:bidi="ar-SA"/>
            </w:rPr>
            <w:t xml:space="preserve"> the type of empl</w:t>
          </w:r>
          <w:r w:rsidR="004E7A19">
            <w:rPr>
              <w:lang w:bidi="ar-SA"/>
            </w:rPr>
            <w:t>oyability skills</w:t>
          </w:r>
          <w:r w:rsidR="00D220CD">
            <w:rPr>
              <w:lang w:bidi="ar-SA"/>
            </w:rPr>
            <w:t xml:space="preserve"> that so many employers are craving in new employees. </w:t>
          </w:r>
          <w:r w:rsidR="004A427D">
            <w:rPr>
              <w:lang w:bidi="ar-SA"/>
            </w:rPr>
            <w:t>These skills are depicted on the center of the Minnesota Career Wheel and include: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Problem solving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Critical thinking</w:t>
          </w:r>
        </w:p>
        <w:p w:rsidR="00B64F77" w:rsidRPr="00B64F77" w:rsidRDefault="004A427D" w:rsidP="00D220C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Communication skills</w:t>
          </w:r>
        </w:p>
        <w:p w:rsidR="00B64F77" w:rsidRPr="004A427D" w:rsidRDefault="00B64F77" w:rsidP="00B64F77">
          <w:pPr>
            <w:rPr>
              <w:b/>
              <w:lang w:bidi="ar-SA"/>
            </w:rPr>
          </w:pPr>
          <w:r w:rsidRPr="004A427D">
            <w:rPr>
              <w:b/>
              <w:lang w:bidi="ar-SA"/>
            </w:rPr>
            <w:t>T</w:t>
          </w:r>
          <w:r>
            <w:rPr>
              <w:b/>
              <w:lang w:bidi="ar-SA"/>
            </w:rPr>
            <w:t>RAITS</w:t>
          </w:r>
          <w:r w:rsidRPr="004A427D">
            <w:rPr>
              <w:b/>
              <w:lang w:bidi="ar-SA"/>
            </w:rPr>
            <w:t xml:space="preserve"> OF</w:t>
          </w:r>
          <w:r>
            <w:rPr>
              <w:b/>
              <w:lang w:bidi="ar-SA"/>
            </w:rPr>
            <w:t xml:space="preserve"> LEADERSHIP</w:t>
          </w:r>
          <w:r w:rsidRPr="004A427D">
            <w:rPr>
              <w:b/>
              <w:lang w:bidi="ar-SA"/>
            </w:rPr>
            <w:t xml:space="preserve"> ACTIVITIES</w:t>
          </w:r>
        </w:p>
        <w:p w:rsidR="00B64F77" w:rsidRDefault="00B64F77" w:rsidP="00B64F77">
          <w:pPr>
            <w:rPr>
              <w:lang w:bidi="ar-SA"/>
            </w:rPr>
          </w:pPr>
          <w:r>
            <w:rPr>
              <w:lang w:bidi="ar-SA"/>
            </w:rPr>
            <w:t>Activities that develop student leadership capabilities have the following attributes:</w:t>
          </w:r>
        </w:p>
        <w:p w:rsidR="00B64F77" w:rsidRPr="00B64F77" w:rsidRDefault="00B64F77" w:rsidP="00B64F77">
          <w:pPr>
            <w:pStyle w:val="ListParagraph"/>
            <w:numPr>
              <w:ilvl w:val="0"/>
              <w:numId w:val="37"/>
            </w:numPr>
            <w:rPr>
              <w:b/>
              <w:lang w:bidi="ar-SA"/>
            </w:rPr>
          </w:pPr>
          <w:r>
            <w:rPr>
              <w:lang w:bidi="ar-SA"/>
            </w:rPr>
            <w:t>Student-centered</w:t>
          </w:r>
        </w:p>
        <w:p w:rsidR="00B64F77" w:rsidRPr="00B64F77" w:rsidRDefault="00B64F77" w:rsidP="00B64F77">
          <w:pPr>
            <w:pStyle w:val="ListParagraph"/>
            <w:numPr>
              <w:ilvl w:val="0"/>
              <w:numId w:val="37"/>
            </w:numPr>
            <w:rPr>
              <w:b/>
              <w:lang w:bidi="ar-SA"/>
            </w:rPr>
          </w:pPr>
          <w:r>
            <w:rPr>
              <w:lang w:bidi="ar-SA"/>
            </w:rPr>
            <w:t>Student planned, organized, and implemented</w:t>
          </w:r>
        </w:p>
        <w:p w:rsidR="00B64F77" w:rsidRPr="00B64F77" w:rsidRDefault="00B64F77" w:rsidP="00B64F77">
          <w:pPr>
            <w:pStyle w:val="ListParagraph"/>
            <w:numPr>
              <w:ilvl w:val="0"/>
              <w:numId w:val="37"/>
            </w:numPr>
            <w:rPr>
              <w:b/>
              <w:lang w:bidi="ar-SA"/>
            </w:rPr>
          </w:pPr>
          <w:r>
            <w:rPr>
              <w:lang w:bidi="ar-SA"/>
            </w:rPr>
            <w:t>Teacher as resource or advisor</w:t>
          </w:r>
        </w:p>
        <w:p w:rsidR="00B64F77" w:rsidRPr="00B64F77" w:rsidRDefault="00B64F77" w:rsidP="00B64F77">
          <w:pPr>
            <w:pStyle w:val="ListParagraph"/>
            <w:numPr>
              <w:ilvl w:val="0"/>
              <w:numId w:val="37"/>
            </w:numPr>
            <w:rPr>
              <w:b/>
              <w:lang w:bidi="ar-SA"/>
            </w:rPr>
          </w:pPr>
          <w:r>
            <w:rPr>
              <w:lang w:bidi="ar-SA"/>
            </w:rPr>
            <w:t>Reaches/connects beyond the classroom</w:t>
          </w:r>
        </w:p>
        <w:p w:rsidR="00B64F77" w:rsidRPr="00B64F77" w:rsidRDefault="00B64F77" w:rsidP="00B64F77">
          <w:pPr>
            <w:pStyle w:val="ListParagraph"/>
            <w:numPr>
              <w:ilvl w:val="0"/>
              <w:numId w:val="37"/>
            </w:numPr>
            <w:rPr>
              <w:b/>
              <w:lang w:bidi="ar-SA"/>
            </w:rPr>
          </w:pPr>
          <w:r>
            <w:rPr>
              <w:lang w:bidi="ar-SA"/>
            </w:rPr>
            <w:t>Activity-based opportunities with defined leadership development outcomes</w:t>
          </w:r>
        </w:p>
        <w:p w:rsidR="00D220CD" w:rsidRPr="004A427D" w:rsidRDefault="00B64F77" w:rsidP="00D220CD">
          <w:pPr>
            <w:rPr>
              <w:b/>
              <w:lang w:bidi="ar-SA"/>
            </w:rPr>
          </w:pPr>
          <w:r>
            <w:rPr>
              <w:b/>
              <w:lang w:bidi="ar-SA"/>
            </w:rPr>
            <w:t>EXAMPLES</w:t>
          </w:r>
          <w:r w:rsidR="004A427D" w:rsidRPr="004A427D">
            <w:rPr>
              <w:b/>
              <w:lang w:bidi="ar-SA"/>
            </w:rPr>
            <w:t xml:space="preserve"> OF </w:t>
          </w:r>
          <w:r>
            <w:rPr>
              <w:b/>
              <w:lang w:bidi="ar-SA"/>
            </w:rPr>
            <w:t xml:space="preserve">LEADERSHIP </w:t>
          </w:r>
          <w:r w:rsidR="004A427D" w:rsidRPr="004A427D">
            <w:rPr>
              <w:b/>
              <w:lang w:bidi="ar-SA"/>
            </w:rPr>
            <w:t>ACTIVITIES</w:t>
          </w:r>
        </w:p>
        <w:p w:rsidR="00B64F77" w:rsidRDefault="00B64F77" w:rsidP="00D220CD">
          <w:pPr>
            <w:rPr>
              <w:lang w:bidi="ar-SA"/>
            </w:rPr>
          </w:pPr>
          <w:r>
            <w:rPr>
              <w:lang w:bidi="ar-SA"/>
            </w:rPr>
            <w:t>S</w:t>
          </w:r>
          <w:r w:rsidR="004A427D">
            <w:rPr>
              <w:lang w:bidi="ar-SA"/>
            </w:rPr>
            <w:t xml:space="preserve">tudent leadership </w:t>
          </w:r>
          <w:r>
            <w:rPr>
              <w:lang w:bidi="ar-SA"/>
            </w:rPr>
            <w:t>development opportunities should be activity-based and aligned to state frameworks and national standards. A wide range of student-led activities can be incorporated into any CTE curriculum program: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Technical skill competitions</w:t>
          </w:r>
          <w:r w:rsidR="00B64F77">
            <w:rPr>
              <w:lang w:bidi="ar-SA"/>
            </w:rPr>
            <w:t xml:space="preserve"> (i.e. DECA, FCCLA, FFA, SkillsUSA, HOSA, BPA, </w:t>
          </w:r>
          <w:proofErr w:type="spellStart"/>
          <w:r w:rsidR="00B64F77">
            <w:rPr>
              <w:lang w:bidi="ar-SA"/>
            </w:rPr>
            <w:t>ProStart</w:t>
          </w:r>
          <w:proofErr w:type="spellEnd"/>
          <w:r w:rsidR="00B64F77">
            <w:rPr>
              <w:lang w:bidi="ar-SA"/>
            </w:rPr>
            <w:t>)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Presentations to school and civic organizations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Experiential learning opportunities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Partnerships with community groups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Community service projects</w:t>
          </w:r>
          <w:r w:rsidR="00B64F77">
            <w:rPr>
              <w:lang w:bidi="ar-SA"/>
            </w:rPr>
            <w:t xml:space="preserve"> (including partnering with civic organizations)</w:t>
          </w:r>
        </w:p>
        <w:p w:rsidR="004A427D" w:rsidRDefault="004A427D" w:rsidP="004A427D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Public service announcements</w:t>
          </w:r>
        </w:p>
        <w:p w:rsidR="007C64B4" w:rsidRDefault="007C64B4" w:rsidP="007C64B4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School store operation (personnel, financial, and product/distribution management)</w:t>
          </w:r>
        </w:p>
        <w:p w:rsidR="007C64B4" w:rsidRDefault="007C64B4" w:rsidP="007C64B4">
          <w:pPr>
            <w:pStyle w:val="ListParagraph"/>
            <w:numPr>
              <w:ilvl w:val="0"/>
              <w:numId w:val="37"/>
            </w:numPr>
            <w:rPr>
              <w:lang w:bidi="ar-SA"/>
            </w:rPr>
          </w:pPr>
          <w:r>
            <w:rPr>
              <w:lang w:bidi="ar-SA"/>
            </w:rPr>
            <w:t>Coordinate development/delivery of marketing messages for school and/or community organizations</w:t>
          </w:r>
        </w:p>
        <w:p w:rsidR="004A427D" w:rsidRPr="004A427D" w:rsidRDefault="004A427D" w:rsidP="00D220CD">
          <w:pPr>
            <w:rPr>
              <w:b/>
              <w:lang w:bidi="ar-SA"/>
            </w:rPr>
          </w:pPr>
          <w:r>
            <w:rPr>
              <w:b/>
              <w:lang w:bidi="ar-SA"/>
            </w:rPr>
            <w:lastRenderedPageBreak/>
            <w:t>PERKINS PROGRAM APPROVAL INCLUDES</w:t>
          </w:r>
          <w:r w:rsidRPr="004A427D">
            <w:rPr>
              <w:b/>
              <w:lang w:bidi="ar-SA"/>
            </w:rPr>
            <w:t xml:space="preserve"> STUDENT LEADERSHIP</w:t>
          </w:r>
          <w:r>
            <w:rPr>
              <w:b/>
              <w:lang w:bidi="ar-SA"/>
            </w:rPr>
            <w:t xml:space="preserve"> REQUIREMENTS</w:t>
          </w:r>
        </w:p>
        <w:p w:rsidR="004A427D" w:rsidRDefault="004A427D" w:rsidP="00D220CD">
          <w:pPr>
            <w:rPr>
              <w:lang w:bidi="ar-SA"/>
            </w:rPr>
          </w:pPr>
          <w:r>
            <w:rPr>
              <w:lang w:bidi="ar-SA"/>
            </w:rPr>
            <w:t xml:space="preserve">The Perkins Program Approval process developed by the Minnesota Department of Education (MDE) includes reporting on how student leadership development is embedded in your CTE program. This requirement for </w:t>
          </w:r>
          <w:proofErr w:type="gramStart"/>
          <w:r>
            <w:rPr>
              <w:lang w:bidi="ar-SA"/>
            </w:rPr>
            <w:t xml:space="preserve">Program </w:t>
          </w:r>
          <w:r w:rsidR="007C64B4">
            <w:rPr>
              <w:lang w:bidi="ar-SA"/>
            </w:rPr>
            <w:t xml:space="preserve"> Approval</w:t>
          </w:r>
          <w:proofErr w:type="gramEnd"/>
          <w:r w:rsidR="007C64B4">
            <w:rPr>
              <w:lang w:bidi="ar-SA"/>
            </w:rPr>
            <w:t>, and subsequent access to requesting Perkins federal funds, is reported on the MDE Program Approval form, shown below:</w:t>
          </w:r>
        </w:p>
        <w:p w:rsidR="007C64B4" w:rsidRDefault="00910E95" w:rsidP="00D220CD">
          <w:pPr>
            <w:rPr>
              <w:lang w:bidi="ar-SA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3669665</wp:posOffset>
                </wp:positionV>
                <wp:extent cx="6391275" cy="1171575"/>
                <wp:effectExtent l="0" t="0" r="9525" b="9525"/>
                <wp:wrapTight wrapText="bothSides">
                  <wp:wrapPolygon edited="0">
                    <wp:start x="0" y="0"/>
                    <wp:lineTo x="0" y="21424"/>
                    <wp:lineTo x="21568" y="21424"/>
                    <wp:lineTo x="21568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64B4">
            <w:rPr>
              <w:noProof/>
              <w:lang w:bidi="ar-SA"/>
            </w:rPr>
            <w:drawing>
              <wp:inline distT="0" distB="0" distL="0" distR="0">
                <wp:extent cx="6400800" cy="16859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64B4">
            <w:rPr>
              <w:noProof/>
              <w:lang w:bidi="ar-SA"/>
            </w:rPr>
            <w:drawing>
              <wp:inline distT="0" distB="0" distL="0" distR="0">
                <wp:extent cx="6391275" cy="19431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20CD" w:rsidRPr="007C64B4" w:rsidRDefault="007C64B4" w:rsidP="00D220CD">
          <w:pPr>
            <w:rPr>
              <w:b/>
              <w:lang w:bidi="ar-SA"/>
            </w:rPr>
          </w:pPr>
          <w:r w:rsidRPr="007C64B4">
            <w:rPr>
              <w:b/>
              <w:lang w:bidi="ar-SA"/>
            </w:rPr>
            <w:t xml:space="preserve">REFLECT ON YOUR PROGRAM! </w:t>
          </w:r>
        </w:p>
        <w:p w:rsidR="007C64B4" w:rsidRDefault="007C64B4" w:rsidP="00D220CD">
          <w:pPr>
            <w:rPr>
              <w:lang w:bidi="ar-SA"/>
            </w:rPr>
          </w:pPr>
          <w:r>
            <w:rPr>
              <w:lang w:bidi="ar-SA"/>
            </w:rPr>
            <w:t>What does student leadership development in y</w:t>
          </w:r>
          <w:bookmarkStart w:id="0" w:name="_GoBack"/>
          <w:bookmarkEnd w:id="0"/>
          <w:r>
            <w:rPr>
              <w:lang w:bidi="ar-SA"/>
            </w:rPr>
            <w:t>our program look like now? As part of continuous program improvement, what changes could you envision for the next 2-3 years?</w:t>
          </w:r>
        </w:p>
        <w:p w:rsidR="00547E68" w:rsidRPr="004E7A19" w:rsidRDefault="007C64B4" w:rsidP="007C64B4">
          <w:pPr>
            <w:spacing w:line="300" w:lineRule="auto"/>
            <w:rPr>
              <w:szCs w:val="20"/>
            </w:rPr>
          </w:pP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  <w:r>
            <w:rPr>
              <w:u w:val="single"/>
              <w:lang w:bidi="ar-SA"/>
            </w:rPr>
            <w:tab/>
          </w:r>
        </w:p>
      </w:sdtContent>
    </w:sdt>
    <w:sectPr w:rsidR="00547E68" w:rsidRPr="004E7A19" w:rsidSect="00B437C8">
      <w:footerReference w:type="default" r:id="rId15"/>
      <w:footerReference w:type="first" r:id="rId16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A7" w:rsidRDefault="00D625A7" w:rsidP="00D91FF4">
      <w:r>
        <w:separator/>
      </w:r>
    </w:p>
  </w:endnote>
  <w:endnote w:type="continuationSeparator" w:id="0">
    <w:p w:rsidR="00D625A7" w:rsidRDefault="00D625A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A7" w:rsidRDefault="00D625A7" w:rsidP="00D91FF4">
      <w:r>
        <w:separator/>
      </w:r>
    </w:p>
  </w:footnote>
  <w:footnote w:type="continuationSeparator" w:id="0">
    <w:p w:rsidR="00D625A7" w:rsidRDefault="00D625A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C2877"/>
    <w:multiLevelType w:val="hybridMultilevel"/>
    <w:tmpl w:val="925C44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B39D5"/>
    <w:multiLevelType w:val="hybridMultilevel"/>
    <w:tmpl w:val="B5D06C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24EC6"/>
    <w:multiLevelType w:val="hybridMultilevel"/>
    <w:tmpl w:val="F2DC6B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26"/>
  </w:num>
  <w:num w:numId="5">
    <w:abstractNumId w:val="24"/>
  </w:num>
  <w:num w:numId="6">
    <w:abstractNumId w:val="10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8"/>
  </w:num>
  <w:num w:numId="12">
    <w:abstractNumId w:val="30"/>
  </w:num>
  <w:num w:numId="13">
    <w:abstractNumId w:val="31"/>
  </w:num>
  <w:num w:numId="14">
    <w:abstractNumId w:val="23"/>
  </w:num>
  <w:num w:numId="15">
    <w:abstractNumId w:val="8"/>
  </w:num>
  <w:num w:numId="16">
    <w:abstractNumId w:val="31"/>
  </w:num>
  <w:num w:numId="17">
    <w:abstractNumId w:val="23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7"/>
  </w:num>
  <w:num w:numId="25">
    <w:abstractNumId w:val="27"/>
  </w:num>
  <w:num w:numId="26">
    <w:abstractNumId w:val="28"/>
  </w:num>
  <w:num w:numId="27">
    <w:abstractNumId w:val="19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7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C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427D"/>
    <w:rsid w:val="004A58DD"/>
    <w:rsid w:val="004A6119"/>
    <w:rsid w:val="004B47DC"/>
    <w:rsid w:val="004B4DDA"/>
    <w:rsid w:val="004C3961"/>
    <w:rsid w:val="004D082F"/>
    <w:rsid w:val="004E3DF6"/>
    <w:rsid w:val="004E75B3"/>
    <w:rsid w:val="004E7A19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C64B4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073C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10E95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26714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64F77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0CD"/>
    <w:rsid w:val="00D22819"/>
    <w:rsid w:val="00D33929"/>
    <w:rsid w:val="00D511F0"/>
    <w:rsid w:val="00D54EE5"/>
    <w:rsid w:val="00D625A7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5607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35882-4CB2-47F3-839E-59AEBC20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267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B4DDD-F06F-412C-BF13-F854F7E9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Dean (MDE)</dc:creator>
  <cp:keywords/>
  <dc:description/>
  <cp:lastModifiedBy>Breuer, Dean (MDE)</cp:lastModifiedBy>
  <cp:revision>5</cp:revision>
  <cp:lastPrinted>2018-10-02T14:43:00Z</cp:lastPrinted>
  <dcterms:created xsi:type="dcterms:W3CDTF">2018-10-02T14:02:00Z</dcterms:created>
  <dcterms:modified xsi:type="dcterms:W3CDTF">2019-01-18T13:10:00Z</dcterms:modified>
</cp:coreProperties>
</file>